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eg"/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200" w:after="120"/>
        <w:jc w:val="center"/>
      </w:pPr>
      <w:r>
        <w:rPr>
          <w:rFonts w:ascii="Arial" w:cs="Arial" w:eastAsia="Arial" w:hAnsi="Arial"/>
          <w:b/>
          <w:bCs/>
          <w:color w:val="1B3A6B"/>
          <w:sz w:val="38"/>
          <w:szCs w:val="38"/>
        </w:rPr>
        <w:t xml:space="preserve">DATENSCHUTZRECHTLICHES GUTACHTEN</w:t>
      </w:r>
    </w:p>
    <w:p>
      <w:pPr>
        <w:spacing w:before="80" w:after="60"/>
        <w:jc w:val="center"/>
      </w:pPr>
      <w:r>
        <w:rPr>
          <w:rFonts w:ascii="Arial" w:cs="Arial" w:eastAsia="Arial" w:hAnsi="Arial"/>
          <w:color w:val="2E6DA4"/>
          <w:sz w:val="26"/>
          <w:szCs w:val="26"/>
        </w:rPr>
        <w:t xml:space="preserve">Öffentliche Website</w:t>
      </w:r>
    </w:p>
    <w:p>
      <w:pPr>
        <w:spacing w:before="40" w:after="320"/>
        <w:jc w:val="center"/>
      </w:pPr>
      <w:r>
        <w:rPr>
          <w:rFonts w:ascii="Arial" w:cs="Arial" w:eastAsia="Arial" w:hAnsi="Arial"/>
          <w:b/>
          <w:bCs/>
          <w:color w:val="2E6DA4"/>
          <w:sz w:val="30"/>
          <w:szCs w:val="30"/>
        </w:rPr>
        <w:t xml:space="preserve">www.w-7.io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838"/>
      </w:tblGrid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Auftraggeber: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Edu360 / w-7.io – Herr Mann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Erstellt durch: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foxondo – Datenschutzberatung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Analysedatum: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20. März 2026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Rechtl. Maßstab: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DSGVO (Art. 5, 6, 13, 25, 26, 28, 32, 44 ff.), §25 TDDDG, EuGH C-673/17 (Planet49), EDPB Cookie-Banner-Taskforce 2023, EU-US DPF-Angemessenheitsbeschluss 10.07.2023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Analysequellen: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(1) Webbkoll-Report vom 20.03.2026 – Erstaufruf Startseite, Chromium ohne Interaktion, ohne Einwilligung. (2) Datenschutzerklärung www.w-7.io/datenschutz. (3) Kontaktseite www.w-7.io/kontakt. (4) Webflow DPA / Sub-Processor-Liste, CookieScript Hilfedokumentation, Cloudflare Cookie-Dokumentation.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Aussagegrenzen: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Webbkoll simuliert einen Seitenaufruf ohne Klicks und ohne erteilte Einwilligung. Aussagen zu nach-Klick-geladenen Diensten, anderen Unterseiten und UI-Ausgestaltung des Banners (Buttons, Granularität, Dark Patterns) lassen sich aus diesem Report nicht ableiten und sind im Gutachten explizit als nicht bestätigt markiert.</w:t>
            </w:r>
          </w:p>
        </w:tc>
      </w:tr>
    </w:tbl>
    <w:p>
      <w:pPr>
        <w:spacing w:before="60" w:after="60"/>
      </w:pPr>
      <w:r>
        <w:t xml:space="preserve"/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Webbkoll-Scan im Überblick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838"/>
      </w:tblGrid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Scan-Datum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20. März 2026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Scan-Tool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Webbkoll (Chromium, kein Benutzer-Interaction, ohne Einwilligung)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Geprüfte URL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https://www.w-7.io/ (Startseite)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Cookies gesamt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2 (beide First-Party, keine Third-Party-Cookies)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Third-Party-Requests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27 Requests an 3 einzigartige Hosts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Third-Party-Hosts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cdn.cookie-script.com · cdn.prod.website-files.com · d3e54v103j8qbb.cloudfront.net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Analyse-/Marketing-Cookies vor Consent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Keiner nachgewiesen (Erstaufruf ohne Interaktion)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Technische Schwächen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Fehlende Referrer-Policy · CSP mit Fehlern · fehlende SRI für ein Dritt-Script</w:t>
            </w:r>
          </w:p>
        </w:tc>
      </w:tr>
      <w:tr>
        <w:tc>
          <w:tcPr>
            <w:tcW w:type="dxa" w:w="2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Kritischster Befund</w:t>
            </w:r>
          </w:p>
        </w:tc>
        <w:tc>
          <w:tcPr>
            <w:tcW w:type="dxa" w:w="68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CookieScript (cdn.cookie-script.com) technisch nachgewiesen, in Datenschutzerklärung nicht benannt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B3A6B" w:sz="10" w:space="4"/>
        </w:pBdr>
        <w:spacing w:before="480" w:after="160"/>
      </w:pPr>
      <w:r>
        <w:rPr>
          <w:rFonts w:ascii="Arial" w:cs="Arial" w:eastAsia="Arial" w:hAnsi="Arial"/>
          <w:b/>
          <w:bCs/>
          <w:color w:val="1B3A6B"/>
          <w:sz w:val="32"/>
          <w:szCs w:val="32"/>
        </w:rPr>
        <w:t xml:space="preserve">Ersteinschätzung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C0392B" w:sz="8"/>
              <w:left w:val="single" w:color="C0392B" w:sz="8"/>
              <w:bottom w:val="single" w:color="C0392B" w:sz="8"/>
              <w:right w:val="single" w:color="C0392B" w:sz="8"/>
            </w:tcBorders>
            <w:shd w:fill="FADBD8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C0392B"/>
                <w:sz w:val="28"/>
                <w:szCs w:val="28"/>
              </w:rPr>
              <w:t xml:space="preserve">✘  Die Website ist wahrscheinlich nicht datenschutzkonform</w:t>
            </w:r>
          </w:p>
        </w:tc>
      </w:tr>
    </w:tbl>
    <w:p>
      <w:pPr>
        <w:spacing w:before="60" w:after="60"/>
      </w:pPr>
      <w:r>
        <w:t xml:space="preserve"/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Der Webbkoll-Scan vom 20. März 2026 zeigt ein differenziertes Bild: Auf der positiven Seite werden beim Erstaufruf keine Analyse- oder Marketing-Cookies vor Einwilligung gesetzt. Auf der negativen Seite ergeben sich zwei belastbare Verstoßindikatoren, die sich direkt aus dem Abgleich von Scan-Befund und Datenschutzerklärung ableiten lassen:</w:t>
      </w:r>
    </w:p>
    <w:p>
      <w:pPr>
        <w:spacing w:before="60" w:after="60"/>
      </w:pPr>
      <w: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CookieScript technisch belegt, in DSE nicht benannt: Webbkoll weist einen Request an cdn.cookie-script.com und das gesetzte Cookie CookieScriptConsent nach. CookieScript wird in der Datenschutzerklärung als Dienst und Empfänger nicht erwähnt. Dies ist ein belastbares Transparenzdefizit nach Art. 13 Abs. 1 lit. e DSGVO und Art. 5 Abs. 1 lit. a DSGVO.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Opt-Out-Logik in DSE kollidiert mit §25 Abs. 1 TDDDG: Die DSE beschreibt für nicht notwendige Cookies ein Opt-Out-Modell ('Widerspruch/Opt-Out durch Abwahl'). §25 Abs. 1 TDDDG verlangt vorherige aktive Einwilligung. Diese Darstellung ist selbst dann rechtswidrig, wenn aktuell technisch kein nicht notwendiger Endgerätezugriff vor Einwilligung stattfindet, da sie Nutzer über ihr Schutzniveau irreführt.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4EDDA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D6E3A"/>
                <w:sz w:val="21"/>
                <w:szCs w:val="21"/>
              </w:rPr>
              <w:t xml:space="preserve">Positiver Befund: Im Erstaufruf-Scan keine Tracking-Cookies nachweisbar. _cfuvid (Cloudflare WAF/Rate-Limiting) und CookieScriptConsent (CMP-Speicherung) sind als technisch notwendig einzustufen. Dies unterscheidet die Situation von einem klassischen Tracking-Verstoß vor Consent – die Hauptprobleme liegen bei Transparenz und Text-Compliance.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B3A6B" w:sz="10" w:space="4"/>
        </w:pBdr>
        <w:spacing w:before="480" w:after="160"/>
      </w:pPr>
      <w:r>
        <w:rPr>
          <w:rFonts w:ascii="Arial" w:cs="Arial" w:eastAsia="Arial" w:hAnsi="Arial"/>
          <w:b/>
          <w:bCs/>
          <w:color w:val="1B3A6B"/>
          <w:sz w:val="32"/>
          <w:szCs w:val="32"/>
        </w:rPr>
        <w:t xml:space="preserve">1. Cookie-Analyse (§25 TDDDG und Art. 6 DSGVO)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1.1 Gesamtbefund Webbkoll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Webbkoll stellt beim Erstaufruf der Startseite zwei Cookies fest – beide First-Party, keine Third-Party-Cookies. Kein LocalStorage nachgewiesen. Damit gibt es keinen Nachweis, dass Analyse- oder Marketing-Cookies ohne Einwilligung gesetzt werden.</w:t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1.2 Cookie-Tabelle mit rechtlicher Einordnung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300"/>
        <w:gridCol w:w="1500"/>
        <w:gridCol w:w="1300"/>
        <w:gridCol w:w="900"/>
        <w:gridCol w:w="1500"/>
        <w:gridCol w:w="1338"/>
      </w:tblGrid>
      <w:tr>
        <w:trPr>
          <w:tblHeader/>
        </w:trP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Cookie-Name</w:t>
            </w:r>
          </w:p>
        </w:tc>
        <w:tc>
          <w:tcPr>
            <w:tcW w:type="dxa" w:w="1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Domain / Betreiber</w:t>
            </w:r>
          </w:p>
        </w:tc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First-/Third-Party</w:t>
            </w:r>
          </w:p>
        </w:tc>
        <w:tc>
          <w:tcPr>
            <w:tcW w:type="dxa" w:w="1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Zweck</w:t>
            </w:r>
          </w:p>
        </w:tc>
        <w:tc>
          <w:tcPr>
            <w:tcW w:type="dxa" w:w="9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Laufzeit</w:t>
            </w:r>
          </w:p>
        </w:tc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Kategorie (§25 TDDDG)</w:t>
            </w:r>
          </w:p>
        </w:tc>
        <w:tc>
          <w:tcPr>
            <w:tcW w:type="dxa" w:w="13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Art. 6 DSGVO</w:t>
            </w:r>
          </w:p>
        </w:tc>
      </w:tr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_cfuvid</w:t>
            </w:r>
          </w:p>
        </w:tc>
        <w:tc>
          <w:tcPr>
            <w:tcW w:type="dxa" w:w="1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www.w-7.io (Server-Header: Cloudflare)</w:t>
            </w:r>
          </w:p>
        </w:tc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First-Party (gesetzt unter w-7.io)</w:t>
            </w:r>
          </w:p>
        </w:tc>
        <w:tc>
          <w:tcPr>
            <w:tcW w:type="dxa" w:w="1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Rate-Limiting / WAF: Unterscheidung einzelner Nutzer hinter gleicher IP, Missbrauchsabwehr</w:t>
            </w:r>
          </w:p>
        </w:tc>
        <w:tc>
          <w:tcPr>
            <w:tcW w:type="dxa" w:w="9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Session</w:t>
            </w:r>
          </w:p>
        </w:tc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Technisch notwendig</w:t>
            </w:r>
          </w:p>
        </w:tc>
        <w:tc>
          <w:tcPr>
            <w:tcW w:type="dxa" w:w="13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Art. 6 Abs. 1 lit. f</w:t>
            </w:r>
          </w:p>
        </w:tc>
      </w:tr>
      <w:tr>
        <w:tc>
          <w:tcPr>
            <w:tcW w:type="dxa" w:w="1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CookieScriptConsent</w:t>
            </w:r>
          </w:p>
        </w:tc>
        <w:tc>
          <w:tcPr>
            <w:tcW w:type="dxa" w:w="1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www.w-7.io; Dritt-Script von cdn.cookie-script.com</w:t>
            </w:r>
          </w:p>
        </w:tc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First-Party (gesetzt unter w-7.io)</w:t>
            </w:r>
          </w:p>
        </w:tc>
        <w:tc>
          <w:tcPr>
            <w:tcW w:type="dxa" w:w="1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Speicherung des Consent-Status / der Kategorienauswahl des Nutzers (CMP-Funktion)</w:t>
            </w:r>
          </w:p>
        </w:tc>
        <w:tc>
          <w:tcPr>
            <w:tcW w:type="dxa" w:w="9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30 Tage (CookieScript-Standard)</w:t>
            </w:r>
          </w:p>
        </w:tc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Funktional (Consent-Management) – technisch notwendig für CMP-Betrieb</w:t>
            </w:r>
          </w:p>
        </w:tc>
        <w:tc>
          <w:tcPr>
            <w:tcW w:type="dxa" w:w="13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Art. 6 Abs. 1 lit. f / lit. c</w:t>
            </w:r>
          </w:p>
        </w:tc>
      </w:tr>
    </w:tbl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1.3 Rechtliche Bewertung nach §25 TDDDG</w:t>
      </w:r>
    </w:p>
    <w:p>
      <w:pPr>
        <w:pStyle w:val="Heading3"/>
        <w:spacing w:before="240" w:after="80"/>
      </w:pPr>
      <w:r>
        <w:rPr>
          <w:rFonts w:ascii="Arial" w:cs="Arial" w:eastAsia="Arial" w:hAnsi="Arial"/>
          <w:b/>
          <w:bCs/>
          <w:color w:val="1A1A1A"/>
          <w:sz w:val="24"/>
          <w:szCs w:val="24"/>
        </w:rPr>
        <w:t xml:space="preserve">_cfuvid – Cloudflare Rate-Limiting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Cloudflare beschreibt _cfuvid als Cookie im WAF-/Rate-Limiting-Kontext zur Unterscheidung einzelner Nutzer hinter gleicher IP. Dieses Cookie dient der Abwehr von Angriffen und der Sicherstellung des Betriebs der Website. Es ist als technisch notwendig i.S.d. §25 Abs. 2 Nr. 2 TDDDG einzustufen, da es zur Bereitstellung des gewünschten Dienstes unbedingt erforderlich ist. Einwilligung nicht erforderlich.</w:t>
      </w:r>
    </w:p>
    <w:p>
      <w:pPr>
        <w:spacing w:before="60" w:after="60"/>
      </w:pPr>
      <w:r>
        <w:t xml:space="preserve"/>
      </w:r>
    </w:p>
    <w:p>
      <w:pPr>
        <w:pStyle w:val="Heading3"/>
        <w:spacing w:before="240" w:after="80"/>
      </w:pPr>
      <w:r>
        <w:rPr>
          <w:rFonts w:ascii="Arial" w:cs="Arial" w:eastAsia="Arial" w:hAnsi="Arial"/>
          <w:b/>
          <w:bCs/>
          <w:color w:val="1A1A1A"/>
          <w:sz w:val="24"/>
          <w:szCs w:val="24"/>
        </w:rPr>
        <w:t xml:space="preserve">CookieScriptConsent – CMP-Consent-Speicherung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CookieScriptConsent speichert den Consent-Status des Nutzers, sodass das Banner nicht bei jedem Aufruf erneut erscheint und die Einwilligungsauswahl technisch wirksam gespeichert wird. Dieser Zugriff ist für den Betrieb des Consent-Management-Mechanismus unbedingt erforderlich und damit nach §25 Abs. 2 Nr. 2 TDDDG einwilligungsfrei. Die Laufzeit von 30 Tagen (CookieScript-Standard) ist verhältnismäßig.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none" w:color="FFFFFF" w:sz="0"/>
              <w:left w:val="single" w:color="B7770D" w:sz="16"/>
              <w:bottom w:val="none" w:color="FFFFFF" w:sz="0"/>
              <w:right w:val="none" w:color="FFFFFF" w:sz="0"/>
            </w:tcBorders>
            <w:shd w:fill="FEF3CD" w:val="clear"/>
            <w:tcMar>
              <w:top w:type="dxa" w:w="120"/>
              <w:left w:type="dxa" w:w="20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B7770D"/>
                <w:sz w:val="21"/>
                <w:szCs w:val="21"/>
              </w:rPr>
              <w:t xml:space="preserve">Kernproblem: Nicht der tatsächliche Cookie-Befund ist der Verstoß, sondern die Beschreibung des Einwilligungsmodells in der Datenschutzerklärung. §25 Abs. 1 TDDDG und Planet49 (EuGH C-673/17) verlangen Opt-in, die DSE beschreibt Opt-Out. Selbst wenn das Banner korrekt implementiert ist: der Text muss die Realität korrekt abbilden (Art. 5 Abs. 1 lit. a DSGVO – Transparenz und Richtigkeit).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B3A6B" w:sz="10" w:space="4"/>
        </w:pBdr>
        <w:spacing w:before="480" w:after="160"/>
      </w:pPr>
      <w:r>
        <w:rPr>
          <w:rFonts w:ascii="Arial" w:cs="Arial" w:eastAsia="Arial" w:hAnsi="Arial"/>
          <w:b/>
          <w:bCs/>
          <w:color w:val="1B3A6B"/>
          <w:sz w:val="32"/>
          <w:szCs w:val="32"/>
        </w:rPr>
        <w:t xml:space="preserve">2. Third-Party-Requests, Rollen und Drittlandübermittlungen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2.1 Gesamtbefund Webbkoll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Webbkoll meldet 27 Third-Party-Requests an drei einzigartige Hosts. Kein Request an Google, keine Social-Media-Einbindungen, keine bekannten Werbenetzwerke nachweisbar. Zudem wird von Webbkoll gemeldet, dass keine Referrer-Policy gesetzt ist, was bei Cross-Origin-Requests standardmäßig zur Übermittlung von Origin-Informationen führt.</w:t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2.2 Drittanbieter-Tabelle mit Pflichtenprüfung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900"/>
        <w:gridCol w:w="1600"/>
        <w:gridCol w:w="1600"/>
        <w:gridCol w:w="1200"/>
        <w:gridCol w:w="1000"/>
        <w:gridCol w:w="1138"/>
      </w:tblGrid>
      <w:tr>
        <w:trPr>
          <w:tblHeader/>
        </w:trP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Host (Requests)</w:t>
            </w:r>
          </w:p>
        </w:tc>
        <w:tc>
          <w:tcPr>
            <w:tcW w:type="dxa" w:w="9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Zweck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Übermittelte Daten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Rollenmodell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Drittland</w:t>
            </w:r>
          </w:p>
        </w:tc>
        <w:tc>
          <w:tcPr>
            <w:tcW w:type="dxa" w:w="1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Einwilligung §25</w:t>
            </w:r>
          </w:p>
        </w:tc>
        <w:tc>
          <w:tcPr>
            <w:tcW w:type="dxa" w:w="11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AVV Art. 28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cdn.cookie-script.com (1)</w:t>
            </w:r>
          </w:p>
        </w:tc>
        <w:tc>
          <w:tcPr>
            <w:tcW w:type="dxa" w:w="9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Auslieferung des CMP-Scripts (CookieScript)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IP-Adresse, User-Agent; wegen fehlender Referrer-Policy ggf. Origin-Domain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Unklar: CookieScript behauptet kein AVV nötig (kein Processor-Selbstverständnis). Mögliche eigenständige Verantwortlichkeit oder Joint-Control (Art. 26).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Irland (EU-Server laut CookieScript); Konzernstruktur prüfen</w:t>
            </w:r>
          </w:p>
        </w:tc>
        <w:tc>
          <w:tcPr>
            <w:tcW w:type="dxa" w:w="1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Nicht zwingend für reine Script-Auslieferung; Consent-Cookie = technisch notwendig für CMP</w:t>
            </w:r>
          </w:p>
        </w:tc>
        <w:tc>
          <w:tcPr>
            <w:tcW w:type="dxa" w:w="11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Fraglich – CookieScript verneint AVV-Pflicht; Art. 26-Vereinbarung prüfen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cdn.prod.website-files.com (25)</w:t>
            </w:r>
          </w:p>
        </w:tc>
        <w:tc>
          <w:tcPr>
            <w:tcW w:type="dxa" w:w="9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Webflow CDN – Auslieferung von Website-Assets (CSS, JS, Bilder)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IP-Adresse, User-Agent, angefragte Ressource-URLs; Referrer-Origin wegen fehlender Policy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Webflow = Auftragsverarbeiter (Processor); Customer (w7 GmbH) = Controller (laut Webflow DPA)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USA (Webflow Inc.) – Cloudflare + AWS als Sub-Prozessoren</w:t>
            </w:r>
          </w:p>
        </w:tc>
        <w:tc>
          <w:tcPr>
            <w:tcW w:type="dxa" w:w="1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Nicht erforderlich (technisch notwendiger Hosting-Request; kein Tracking-Cookie nachgewiesen)</w:t>
            </w:r>
          </w:p>
        </w:tc>
        <w:tc>
          <w:tcPr>
            <w:tcW w:type="dxa" w:w="11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Ja – AVV laut DSE behauptet; Webflow DPA verfügbar (webflow.com/legal/dpa)</w:t>
            </w:r>
          </w:p>
        </w:tc>
      </w:tr>
      <w:tr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d3e54v103j8qbb.cloudfront.net (1)</w:t>
            </w:r>
          </w:p>
        </w:tc>
        <w:tc>
          <w:tcPr>
            <w:tcW w:type="dxa" w:w="9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Auslieferung einzelner Ressource über Amazon CloudFront CDN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IP-Adresse, User-Agent, angefragte Ressource; Referrer-Origin möglich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CloudFront = Webflow Sub-Prozessor (AWS auf Webflow Sub-Processor-Liste). Keine direkte Vertragsbeziehung w7 GmbH – AWS erforderlich (abgedeckt über Webflow-Kette).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USA (Amazon Web Services Inc.)</w:t>
            </w:r>
          </w:p>
        </w:tc>
        <w:tc>
          <w:tcPr>
            <w:tcW w:type="dxa" w:w="1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Nicht erforderlich (statisches Asset-Delivery; kein Tracking nachgewiesen)</w:t>
            </w:r>
          </w:p>
        </w:tc>
        <w:tc>
          <w:tcPr>
            <w:tcW w:type="dxa" w:w="11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Via Webflow-AVV-Kette; Webflow stellt DPA mit Sub-Prozessoren sicher</w:t>
            </w:r>
          </w:p>
        </w:tc>
      </w:tr>
    </w:tbl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2.3 Detailanalyse der Drittanbieter</w:t>
      </w:r>
    </w:p>
    <w:p>
      <w:pPr>
        <w:pStyle w:val="Heading3"/>
        <w:spacing w:before="240" w:after="80"/>
      </w:pPr>
      <w:r>
        <w:rPr>
          <w:rFonts w:ascii="Arial" w:cs="Arial" w:eastAsia="Arial" w:hAnsi="Arial"/>
          <w:b/>
          <w:bCs/>
          <w:color w:val="1A1A1A"/>
          <w:sz w:val="24"/>
          <w:szCs w:val="24"/>
        </w:rPr>
        <w:t xml:space="preserve">cdn.cookie-script.com – CookieScript CMP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Der Script-Abruf von cdn.cookie-script.com ist im Webbkoll-Report nachgewiesen. CookieScript nimmt eine besondere Stellung ein: Das Unternehmen behauptet in seiner Help-Center-Dokumentation, kein AVV nötig zu sein, da es nicht als Auftragsverarbeiter tätig sei. Dies deutet auf ein Selbstverständnis als eigenständiger Verantwortlicher oder als rein technischer Content-Anbieter hin.</w:t>
      </w:r>
    </w:p>
    <w:p>
      <w:pPr>
        <w:spacing w:before="60" w:after="60"/>
      </w:pPr>
      <w:r>
        <w:t xml:space="preserve"/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Für w-7.io ergeben sich daraus zwei Prüfpunkte: (1) Wenn CookieScript über die reine Script-Auslieferung hinaus Consent-Daten für eigene Zwecke verarbeitet, wäre eine Art. 26 DSGVO-Vereinbarung (gemeinsame Verantwortlichkeit) zu prüfen. (2) Unabhängig von der Rollenklärung ist CookieScript als tatsächlich kontaktierter Dritt-Host und Empfänger von mindestens IP-Adresse und User-Agent in der DSE gemäß Art. 13 Abs. 1 lit. e DSGVO zu benennen.</w:t>
      </w:r>
    </w:p>
    <w:p>
      <w:pPr>
        <w:spacing w:before="60" w:after="60"/>
      </w:pPr>
      <w:r>
        <w:t xml:space="preserve"/>
      </w:r>
    </w:p>
    <w:p>
      <w:pPr>
        <w:pStyle w:val="Heading3"/>
        <w:spacing w:before="240" w:after="80"/>
      </w:pPr>
      <w:r>
        <w:rPr>
          <w:rFonts w:ascii="Arial" w:cs="Arial" w:eastAsia="Arial" w:hAnsi="Arial"/>
          <w:b/>
          <w:bCs/>
          <w:color w:val="1A1A1A"/>
          <w:sz w:val="24"/>
          <w:szCs w:val="24"/>
        </w:rPr>
        <w:t xml:space="preserve">cdn.prod.website-files.com – Webflow CDN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25 von 27 Third-Party-Requests entfallen auf den Webflow CDN für Asset-Delivery (CSS, JS, Bilder). Webflow ist als Auftragsverarbeiter klar positioniert: Der Kunde ist Controller, Webflow ist Processor. Das Webflow DPA ist verfügbar und enthält SCCs sowie Regelungen für Sub-Prozessoren. Ein AVV-Abschluss ist laut DSE erfolgt.</w:t>
      </w:r>
    </w:p>
    <w:p>
      <w:pPr>
        <w:spacing w:before="60" w:after="60"/>
      </w:pPr>
      <w:r>
        <w:t xml:space="preserve"/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Webflow nennt auf seiner Sub-Processor-Liste Cloudflare Inc. (USA) und Amazon Web Services Inc. (USA) als Sub-Prozessoren. Diese sind in der DSE von w-7.io nicht ausdifferenziert, obwohl sie Daten von Website-Besuchern verarbeiten. Für die Drittlandübermittlung gilt: Webflow verweist im DPA auf SCCs und die Möglichkeit der DPF-Nutzung bei zertifizierten Empfängern. DPF-Zertifizierungsstatus von Webflow ist zu verifizieren (privacyshield.gov).</w:t>
      </w:r>
    </w:p>
    <w:p>
      <w:pPr>
        <w:spacing w:before="60" w:after="60"/>
      </w:pPr>
      <w:r>
        <w:t xml:space="preserve"/>
      </w:r>
    </w:p>
    <w:p>
      <w:pPr>
        <w:pStyle w:val="Heading3"/>
        <w:spacing w:before="240" w:after="80"/>
      </w:pPr>
      <w:r>
        <w:rPr>
          <w:rFonts w:ascii="Arial" w:cs="Arial" w:eastAsia="Arial" w:hAnsi="Arial"/>
          <w:b/>
          <w:bCs/>
          <w:color w:val="1A1A1A"/>
          <w:sz w:val="24"/>
          <w:szCs w:val="24"/>
        </w:rPr>
        <w:t xml:space="preserve">d3e54v103j8qbb.cloudfront.net – Amazon CloudFront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Webbkoll klassifiziert diesen Host als Amazon-Content. Es handelt sich um eine über CloudFront ausgelieferte Ressource, die im Webflow-Asset-Routing-Kontext steht. CloudFront ist auf der Webflow Sub-Processor-Liste als Amazon Web Services gelistet. Eine direkte Vertragsbeziehung zwischen w7 GmbH und AWS ist nicht erforderlich – die Bindung erfolgt über die Webflow-AVV-Kette.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none" w:color="FFFFFF" w:sz="0"/>
              <w:left w:val="single" w:color="2E6DA4" w:sz="16"/>
              <w:bottom w:val="none" w:color="FFFFFF" w:sz="0"/>
              <w:right w:val="none" w:color="FFFFFF" w:sz="0"/>
            </w:tcBorders>
            <w:shd w:fill="D8E8F4" w:val="clear"/>
            <w:tcMar>
              <w:top w:type="dxa" w:w="120"/>
              <w:left w:type="dxa" w:w="20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B3A6B"/>
                <w:sz w:val="21"/>
                <w:szCs w:val="21"/>
              </w:rPr>
              <w:t xml:space="preserve">Fehlende Referrer-Policy (Webbkoll-Befund): Bei allen drei Dritt-Hosts werden wegen fehlender Referrer-Policy standardmäßig Origin-Referrer-Informationen übermittelt. Diese Informationen allein sind kein schwerwiegender Datenschutzverstoß, erhöhen aber in Kombination mit IP-Adresse und Zeitstempel die Nachvollziehbarkeit von Nutzerbesuchen. Eine restriktive Referrer-Policy ist als Privacy-by-Design-Maßnahme gem. Art. 25 DSGVO geboten.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B3A6B" w:sz="10" w:space="4"/>
        </w:pBdr>
        <w:spacing w:before="480" w:after="160"/>
      </w:pPr>
      <w:r>
        <w:rPr>
          <w:rFonts w:ascii="Arial" w:cs="Arial" w:eastAsia="Arial" w:hAnsi="Arial"/>
          <w:b/>
          <w:bCs/>
          <w:color w:val="1B3A6B"/>
          <w:sz w:val="32"/>
          <w:szCs w:val="32"/>
        </w:rPr>
        <w:t xml:space="preserve">3. Prüfung der Datenschutzerklärung (Art. 13 DSGVO)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Die Datenschutzerklärung wurde anhand der Art. 13 DSGVO-Pflichtangaben geprüft und mit dem Webbkoll-Befund abgeglichen. Besonderes Gewicht hat dabei die Konsistenzprüfung: Was beschreibt die DSE, was belegt der Scan tatsächlich?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300"/>
        <w:gridCol w:w="3638"/>
        <w:gridCol w:w="1700"/>
      </w:tblGrid>
      <w:tr>
        <w:trPr>
          <w:tblHeader/>
        </w:trP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Pflichtangabe Art. 13 DSGVO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Befund (Webbkoll + DSE-Abgleich)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Ergebnis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Verantwortliche Stelle + Kontaktdaten (Art. 13 Abs. 1 lit. a)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w7 GmbH mit Name, Adresse, Kontakt vollständig angegeben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D6E3A"/>
                <w:sz w:val="19"/>
                <w:szCs w:val="19"/>
              </w:rPr>
              <w:t xml:space="preserve">Erfüllt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Verarbeitungszwecke und Rechtsgrundlagen (Art. 13 Abs. 1 lit. c)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Webflow-Hosting und Kontaktformular beschrieben mit Art. 6 Abs. 1 lit. f bzw. lit. b; reCAPTCHA/Maps separat (aber im Scan nicht sichtbar)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Teilweise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Empfänger / Kategorien von Empfängern (Art. 13 Abs. 1 lit. e)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KRITISCH: Webbkoll belegt Request an cdn.cookie-script.com und Cookie CookieScriptConsent, aber CookieScript wird als Dienst/Empfänger in der DSE nicht benannt. Webflow benannt.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Mangel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CMP-Dienst konkret benannt (Planet49-Anforderung)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CookieScript technisch belegt (Script + Cookie), aber in DSE nur 'Cookie-Fenster' ohne Nennung des Anbieters oder des Cookies CookieScriptConsent mit Laufzeit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Mangel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Drittlandtransfers + Garantien (Art. 13 Abs. 1 lit. f)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Webflow-Transfer in die USA mit SCC benannt. Sub-Prozessoren Cloudflare und AWS (USA) nicht in DSE ausdifferenziert. DPF-Angemessenheitsbeschluss nicht eingeordnet.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Teilweise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Speicherdauern (Art. 13 Abs. 2 lit. a)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Kontaktanfragen konkret; Cookies ohne konkrete Laufzeiten; CookieScriptConsent (30 Tage) nicht angegeben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Mangel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Betroffenenrechte Art. 15–22 DSGVO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Rechte und Beschwerderecht grundsätzlich dargestellt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D6E3A"/>
                <w:sz w:val="19"/>
                <w:szCs w:val="19"/>
              </w:rPr>
              <w:t xml:space="preserve">Erfüllt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Opt-in-Logik korrekt beschrieben (§25 Abs. 1 TDDDG)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DSE beschreibt 'Opt-Out durch Abwahl' – kollidiert mit §25 Abs. 1 TDDDG (vorherige Einwilligung) und Planet49 (aktives Handeln)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Mangel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Konsistenz DSE ↔ tatsächliche Technologien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Google Maps + reCAPTCHA in DSE mit detaillierten Beschreibungen, aber im Webbkoll-Scan nicht nachweisbar → mögliche Inaktualität oder Textbausteine ohne Prüfbezug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Prüfen</w:t>
            </w:r>
          </w:p>
        </w:tc>
      </w:tr>
      <w:tr>
        <w:tc>
          <w:tcPr>
            <w:tcW w:type="dxa" w:w="43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Aktualität: §25 TDDDG statt TTDSG</w:t>
            </w:r>
          </w:p>
        </w:tc>
        <w:tc>
          <w:tcPr>
            <w:tcW w:type="dxa" w:w="3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DSE verwendet noch veraltete Bezeichnung 'TTDSG'</w:t>
            </w:r>
          </w:p>
        </w:tc>
        <w:tc>
          <w:tcPr>
            <w:tcW w:type="dxa" w:w="1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Mangel</w:t>
            </w:r>
          </w:p>
        </w:tc>
      </w:tr>
    </w:tbl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3.1 Kritische Abweichung: CookieScript nicht in DSE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Der schwerwiegendste Befund im DSE-Abgleich: Webbkoll belegt einen Request an cdn.cookie-script.com und das Cookie CookieScriptConsent. Die Datenschutzerklärung beschreibt zwar ein 'Cookie-Fenster', benennt jedoch weder CookieScript als CMP-Anbieter noch das konkrete Cookie mit Laufzeit. Art. 13 Abs. 1 lit. e DSGVO verlangt die Angabe von Empfängern oder zumindest Kategorien. Planet49 (EuGH) präzisiert, dass bei Cookies Funktionsdauer und Drittzugriff mitzuteilen sind.</w:t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3.2 Google Maps / reCAPTCHA: Dokumentation ohne Scan-Entsprechung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Die Datenschutzerklärung enthält ausführliche Abschnitte zu Google Maps und Google reCAPTCHA, einschließlich der Beschreibung automatischer Hintergrundanalysen. Im Webbkoll-Scan der Startseite sind keinerlei Google-Requests nachweisbar. Dies kann zwei Gründe haben:</w:t>
      </w:r>
    </w:p>
    <w:p>
      <w:pPr>
        <w:spacing w:before="60" w:after="60"/>
      </w:pPr>
      <w: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Dienste werden auf Unterseiten oder nach Nutzerinteraktion geladen: Dann sind die DSE-Abschnitte inhaltlich korrekt, aber der Scan deckt diese Nutzung nicht ab.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Dienste wurden entfernt, aber DSE-Textbausteine nicht bereinigt: Dann verletzt die Beschreibung nicht-genutzter Dienste Art. 5 Abs. 1 lit. a DSGVO (Richtigkeit der Informationen).</w:t>
      </w:r>
    </w:p>
    <w:p>
      <w:pPr>
        <w:spacing w:before="60" w:after="60"/>
      </w:pPr>
      <w:r>
        <w:t xml:space="preserve"/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In beiden Fällen ist Klärung und ggf. Anpassung erforderlich. Der tatsächliche Einsatz auf Unterseiten und Formularen ist durch eigenständige Prüfung zu verifizieren.</w:t>
      </w:r>
    </w:p>
    <w:p>
      <w:r>
        <w:br w:type="page"/>
      </w:r>
    </w:p>
    <w:p>
      <w:pPr>
        <w:pStyle w:val="Heading1"/>
        <w:pBdr>
          <w:bottom w:val="single" w:color="1B3A6B" w:sz="10" w:space="4"/>
        </w:pBdr>
        <w:spacing w:before="480" w:after="160"/>
      </w:pPr>
      <w:r>
        <w:rPr>
          <w:rFonts w:ascii="Arial" w:cs="Arial" w:eastAsia="Arial" w:hAnsi="Arial"/>
          <w:b/>
          <w:bCs/>
          <w:color w:val="1B3A6B"/>
          <w:sz w:val="32"/>
          <w:szCs w:val="32"/>
        </w:rPr>
        <w:t xml:space="preserve">4. Rechtliche Gesamtbewertung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4.1 §25 TDDDG – Endgerätezugriffe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Auf der geprüften Startseite sind beim Erstaufruf ohne Interaktion keine nicht notwendigen Cookies nachweisbar. Dies ist ein positiver Befund. Die Problematik liegt jedoch auf der Dokumentationsebene: Die DSE beschreibt ein Opt-Out-Modell, das mit §25 Abs. 1 TDDDG unvereinbar ist. Für zukünftige Hinzufügung nicht notwendiger Dienste oder für bereits auf Unterseiten geladene Dienste ist die korrekte Opt-in-Beschreibung zwingend.</w:t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4.2 Transparenz und Richtigkeit (Art. 5 Abs. 1 lit. a DSGVO)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Art. 5 Abs. 1 lit. a DSGVO als Grundsatznorm verpflichtet zur Verarbeitung in einer für die betroffene Person nachvollziehbaren Weise. Zwei Aspekte sind verletzt: (1) CookieScript ist technisch aktiv, aber nicht dokumentiert. (2) Das beschriebene Einwilligungsmodell (Opt-Out) entspricht nicht dem gesetzlichen Anforderungsprofil. Beide Punkte beeinträchtigen die Nachvollziehbarkeit für Betroffene.</w:t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4.3 Art. 28 DSGVO – Auftragsverarbeitung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Die Webflow-Konstellation ist rechtlich solide aufgestellt: Customer als Controller, Webflow als Processor, AVV behauptet, Webflow DPA verfügbar. Handlungsbedarf besteht bei CookieScript (Rollenklärung) und bei der Transparenz über die Sub-Prozessoren-Kette (Cloudflare, AWS) in der DSE.</w:t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4.4 Art. 25 und Art. 32 DSGVO – Technische Maßnahmen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Webbkoll meldet drei technische Schwächen: fehlende Referrer-Policy, CSP-Fehler und fehlende SRI für das CookieScript-Script. Diese begründen keinen direkten Cookie-Verstoß, sind aber als risikoorientierte TOM-Lücken im Sinne von Art. 32 DSGVO und als Privacy-by-Design-Defizite nach Art. 25 DSGVO einzustufen. Insbesondere fehlende SRI für ein Dritt-Script schafft ein Angriffspotenzial, bei dem ein kompromittiertes Script unbemerkt Daten exfiltrieren könnte.</w:t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4.5 Art. 44 ff. DSGVO – Drittlandübermittlungen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Webflow als US-Unternehmen und dessen Sub-Prozessoren (Cloudflare, AWS) lösen Drittlandübermittlungen aus. Die DSE benennt SCCs für Webflow. Ergänzend besteht seit 10. Juli 2023 der EU-US Data Privacy Framework als Angemessenheitsbeschluss für zertifizierte US-Unternehmen – dieser wird in der DSE nicht eingeordnet. Eine konsistente und überprüfbare Darstellung je Dienst und Transfermechanismus ist herzustellen.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none" w:color="FFFFFF" w:sz="0"/>
              <w:left w:val="single" w:color="2E6DA4" w:sz="16"/>
              <w:bottom w:val="none" w:color="FFFFFF" w:sz="0"/>
              <w:right w:val="none" w:color="FFFFFF" w:sz="0"/>
            </w:tcBorders>
            <w:shd w:fill="D8E8F4" w:val="clear"/>
            <w:tcMar>
              <w:top w:type="dxa" w:w="120"/>
              <w:left w:type="dxa" w:w="20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1B3A6B"/>
                <w:sz w:val="21"/>
                <w:szCs w:val="21"/>
              </w:rPr>
              <w:t xml:space="preserve">Gesamtrisikobewertung: Das Bußgeldrisiko nach Art. 83 DSGVO ist als niedrig bis mittel einzustufen. Die nachgewiesenen Verstöße betreffen primär Transparenzpflichten (Art. 13 DSGVO) und Textkonformität (§25 TDDDG). Kein schwerwiegender Tracking-Verstoß vor Consent nachweisbar. Technische Mängel (CSP, SRI, Referrer-Policy) sind als mittelfristiger Handlungsbedarf einzustufen.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B3A6B" w:sz="10" w:space="4"/>
        </w:pBdr>
        <w:spacing w:before="480" w:after="160"/>
      </w:pPr>
      <w:r>
        <w:rPr>
          <w:rFonts w:ascii="Arial" w:cs="Arial" w:eastAsia="Arial" w:hAnsi="Arial"/>
          <w:b/>
          <w:bCs/>
          <w:color w:val="1B3A6B"/>
          <w:sz w:val="32"/>
          <w:szCs w:val="32"/>
        </w:rPr>
        <w:t xml:space="preserve">5. Prüfung des Consent-Banners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Webbkoll bildet die Banner-UI nicht ab (kein Screenshot, keine Button-Analyse). Die nachfolgende Tabelle dokumentiert die rechtlichen Mindestanforderungen und den jeweiligen Befund auf Basis von Webbkoll-Daten und DSE-Inhalt. Für eine vollständige Banner-Prüfung (Gleichwertigkeitsprinzip, Dark Patterns, Granularität) ist ein manueller Live-Test der Website zwingend erforderlich.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3238"/>
        <w:gridCol w:w="2200"/>
      </w:tblGrid>
      <w:tr>
        <w:trPr>
          <w:tblHeader/>
        </w:trP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Anforderung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Rechtsgrundlage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Webbkoll-/DSE-Befund</w:t>
            </w:r>
          </w:p>
        </w:tc>
      </w:tr>
      <w:t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Kein Setzen nicht notwendiger Cookies vor Opt-in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§25 Abs. 1 TDDDG; Planet49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D6E3A"/>
                <w:sz w:val="19"/>
                <w:szCs w:val="19"/>
              </w:rPr>
              <w:t xml:space="preserve">Positiv: Nur 2 Cookies nachgewiesen (_cfuvid, CookieScriptConsent) – kein Tracking vor Consent</w:t>
            </w:r>
          </w:p>
        </w:tc>
      </w:tr>
      <w:t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Opt-in-Logik (aktive Einwilligung, kein Pre-Ticking)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EuGH C-673/17; Art. 4 Nr. 11 DSGVO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C0392B"/>
                <w:sz w:val="19"/>
                <w:szCs w:val="19"/>
              </w:rPr>
              <w:t xml:space="preserve">Kritisch: DSE beschreibt Opt-Out – kollidiert mit gesetzlichem Opt-in-Erfordernis</w:t>
            </w:r>
          </w:p>
        </w:tc>
      </w:tr>
      <w:t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Gleichwertige 'Ablehnen'-Option auf erster Ebene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EDPB Cookie-Banner-Taskforce 2023; DSK-OH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B7770D"/>
                <w:sz w:val="19"/>
                <w:szCs w:val="19"/>
              </w:rPr>
              <w:t xml:space="preserve">Nicht aus Webbkoll ableitbar – Live-Bannertest erforderlich</w:t>
            </w:r>
          </w:p>
        </w:tc>
      </w:tr>
      <w:t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Granulare Kategorienauswahl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EDSA Leitlinien 05/2020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B7770D"/>
                <w:sz w:val="19"/>
                <w:szCs w:val="19"/>
              </w:rPr>
              <w:t xml:space="preserve">Kategorien laut DSE vorhanden; Opt-in-Konformität unklar</w:t>
            </w:r>
          </w:p>
        </w:tc>
      </w:tr>
      <w:t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CMP-Anbieter in DSE benannt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Art. 13 Abs. 1 lit. e DSGVO; Planet49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C0392B"/>
                <w:sz w:val="19"/>
                <w:szCs w:val="19"/>
              </w:rPr>
              <w:t xml:space="preserve">Kritisch: CookieScript technisch belegt, in DSE nicht benannt</w:t>
            </w:r>
          </w:p>
        </w:tc>
      </w:tr>
      <w:t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Cookie-Name, Laufzeit, Drittzugriff je Cookie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Planet49 (EuGH C-673/17)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C0392B"/>
                <w:sz w:val="19"/>
                <w:szCs w:val="19"/>
              </w:rPr>
              <w:t xml:space="preserve">Kritisch: CookieScriptConsent (30 Tage) nicht in DSE angegeben</w:t>
            </w:r>
          </w:p>
        </w:tc>
      </w:tr>
      <w:t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Widerrufsmöglichkeit jederzeit, ebenso einfach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Art. 7 Abs. 3 DSGVO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B7770D"/>
                <w:sz w:val="19"/>
                <w:szCs w:val="19"/>
              </w:rPr>
              <w:t xml:space="preserve">DSE behauptet Widerruf; Umsetzung im Banner nicht prüfbar</w:t>
            </w:r>
          </w:p>
        </w:tc>
      </w:tr>
      <w:tr>
        <w:tc>
          <w:tcPr>
            <w:tcW w:type="dxa" w:w="4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Consent-Protokollierung (Zeitstempel, Version)</w:t>
            </w:r>
          </w:p>
        </w:tc>
        <w:tc>
          <w:tcPr>
            <w:tcW w:type="dxa" w:w="32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Art. 7 Abs. 1 DSGVO (Nachweispflicht)</w:t>
            </w:r>
          </w:p>
        </w:tc>
        <w:tc>
          <w:tcPr>
            <w:tcW w:type="dxa" w:w="2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B7770D"/>
                <w:sz w:val="19"/>
                <w:szCs w:val="19"/>
              </w:rPr>
              <w:t xml:space="preserve">Nicht aus Webbkoll ableitbar; CookieScript bietet Consent-Log-Funktion</w:t>
            </w:r>
          </w:p>
        </w:tc>
      </w:tr>
    </w:tbl>
    <w:p>
      <w:pPr>
        <w:spacing w:before="60" w:after="60"/>
      </w:pPr>
      <w:r>
        <w:t xml:space="preserve"/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Positiver technischer Kernbefund: Webbkoll zeigt, dass beim Erstaufruf keine Tracking-Cookies gesetzt werden. Das legt nahe, dass das CookieScript-Banner technisch korrekt blockiert, bis eine Auswahl getroffen wird. Dieser Befund steht jedoch im Widerspruch zur textlichen Opt-Out-Beschreibung in der DSE.</w:t>
      </w:r>
    </w:p>
    <w:p>
      <w:r>
        <w:br w:type="page"/>
      </w:r>
    </w:p>
    <w:p>
      <w:pPr>
        <w:pStyle w:val="Heading1"/>
        <w:pBdr>
          <w:bottom w:val="single" w:color="1B3A6B" w:sz="10" w:space="4"/>
        </w:pBdr>
        <w:spacing w:before="480" w:after="160"/>
      </w:pPr>
      <w:r>
        <w:rPr>
          <w:rFonts w:ascii="Arial" w:cs="Arial" w:eastAsia="Arial" w:hAnsi="Arial"/>
          <w:b/>
          <w:bCs/>
          <w:color w:val="1B3A6B"/>
          <w:sz w:val="32"/>
          <w:szCs w:val="32"/>
        </w:rPr>
        <w:t xml:space="preserve">6. Red-Flag-Analyse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Nachfolgende Tabelle listet alle identifizierten Risiken nach Schwere und Handlungspriorität. Grundlage sind ausschließlich durch Webbkoll oder DSE belegte Befunde.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4638"/>
        <w:gridCol w:w="1200"/>
        <w:gridCol w:w="800"/>
      </w:tblGrid>
      <w:tr>
        <w:trPr>
          <w:tblHeader/>
        </w:trPr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Risikobefund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Rechtliche Einordnung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Bewertung</w:t>
            </w:r>
          </w:p>
        </w:tc>
        <w:tc>
          <w:tcPr>
            <w:tcW w:type="dxa" w:w="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</w:t>
            </w:r>
          </w:p>
        </w:tc>
      </w:tr>
      <w:tr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CookieScript technisch belegt, in DSE nicht als Dienst/Empfänger benannt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Webbkoll belegt Request an cdn.cookie-script.com und gesetztes Cookie CookieScriptConsent. Art. 13 Abs. 1 lit. e DSGVO verlangt Angabe von Empfängern oder Kategorien. Fehlt die konkrete Benennung des CMP-Dienstes, ist die Transparenz gegenüber Betroffenen unvollständig. Zusätzlich fehlt die Laufzeit des Cookies (30 Tage) – Planet49-Anforderung.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HOCH</w:t>
            </w:r>
          </w:p>
        </w:tc>
        <w:tc>
          <w:tcPr>
            <w:tcW w:type="dxa" w:w="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1</w:t>
            </w:r>
          </w:p>
        </w:tc>
      </w:tr>
      <w:tr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Opt-Out-Logik in DSE kollidiert mit §25 Abs. 1 TDDDG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§25 Abs. 1 TDDDG verlangt vorherige aktive Einwilligung für nicht unbedingt erforderliche Endgerätezugriffe. Die DSE beschreibt 'Widerspruch/Opt-Out durch Abwahl'. Selbst wenn aktuell kein Tracking-Cookie nachweisbar ist, irreführt die Darstellung Nutzer über ihr Schutzniveau und verletzt Art. 5 Abs. 1 lit. a DSGVO. Planet49 (EuGH C-673/17): aktives Handeln zwingend.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HOCH</w:t>
            </w:r>
          </w:p>
        </w:tc>
        <w:tc>
          <w:tcPr>
            <w:tcW w:type="dxa" w:w="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1</w:t>
            </w:r>
          </w:p>
        </w:tc>
      </w:tr>
      <w:tr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Fehlende Referrer-Policy: Origin-Informationen können an Dritt-Hosts übermittelt werden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Webbkoll meldet: keine Referrer-Policy gesetzt. Bei Cross-Origin-Requests an cdn.cookie-script.com, cdn.prod.website-files.com und CloudFront fließen damit standardmäßig Referrer-Origin-Informationen. Art. 25 DSGVO (Privacy by Design/Default) und Art. 32 DSGVO (TOMs) verlangen angemessene Schutzmaßnahmen. Referrer-Daten in Kombination mit IP und Zeitstempel erhöhen die Nachvollziehbarkeit von Nutzerbesuchen.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MITTEL</w:t>
            </w:r>
          </w:p>
        </w:tc>
        <w:tc>
          <w:tcPr>
            <w:tcW w:type="dxa" w:w="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2</w:t>
            </w:r>
          </w:p>
        </w:tc>
      </w:tr>
      <w:tr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CSP-Fehler und fehlende Subresource Integrity (SRI) für Dritt-Script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Webbkoll meldet CSP mit Fehlern und fehlende SRI für mindestens ein Dritt-Script (cdn.cookie-script.com). SRI-Fehlen bedeutet: kompromittiertes Dritt-Script könnte unbemerkt Daten exfiltrieren. Dies berührt Art. 32 DSGVO (Sicherheit der Verarbeitung) und Art. 25 DSGVO (Privacy by Design). Kein direkter Cookie-Verstoß, aber risikoorientierter TOM-Mangel.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MITTEL</w:t>
            </w:r>
          </w:p>
        </w:tc>
        <w:tc>
          <w:tcPr>
            <w:tcW w:type="dxa" w:w="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2</w:t>
            </w:r>
          </w:p>
        </w:tc>
      </w:tr>
      <w:tr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Webflow-Sub-Prozessoren (Cloudflare, AWS) in DSE nicht ausdifferenziert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Webflow benennt Cloudflare (USA) und Amazon AWS (USA) als Sub-Prozessoren. Diese verarbeiten technisch Daten von w-7.io-Besuchern (IP, Requests). Art. 13 Abs. 1 lit. e DSGVO verlangt Empfänger-/Kategorien-Angaben; Drittlandübermittlungen an US-Sub-Prozessoren sind gem. Art. 44 ff. DSGVO zu dokumentieren. DSE nennt nur Webflow, nicht die Kette.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MITTEL</w:t>
            </w:r>
          </w:p>
        </w:tc>
        <w:tc>
          <w:tcPr>
            <w:tcW w:type="dxa" w:w="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Google Maps / reCAPTCHA: DSE-Beschreibung ohne Entsprechung im Webbkoll-Scan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Die DSE beschreibt reCAPTCHA mit automatischer Hintergrundanalyse. Im Webbkoll-Scan der Startseite keine Google-Requests nachweisbar. Entweder: (a) Dienste sind inaktiv → DSE-Textbausteine ohne Prüfbezug verletzen Art. 5 Abs. 1 lit. a DSGVO (Richtigkeit), oder (b) Dienste werden auf Unterseiten/nach Interaktion geladen → dann gelten §25 Abs. 1 TDDDG und Art. 13 DSGVO vollumfänglich. Klärung erforderlich.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D6E3A"/>
                <w:sz w:val="19"/>
                <w:szCs w:val="19"/>
              </w:rPr>
              <w:t xml:space="preserve">GERING</w:t>
            </w:r>
          </w:p>
        </w:tc>
        <w:tc>
          <w:tcPr>
            <w:tcW w:type="dxa" w:w="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AVV mit Webflow behauptet – positiver Befund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Art. 28 DSGVO: Webflow-Rollenmodell (Customer als Controller, Webflow als Processor) ist gut dokumentiert. Webflow DPA mit SCCs und Sub-Processor-DPAs verfügbar. Positiver Compliance-Indikator; DPF-Zertifizierungsstatus von Webflow ergänzend zu prüfen.</w:t>
            </w:r>
          </w:p>
        </w:tc>
        <w:tc>
          <w:tcPr>
            <w:tcW w:type="dxa" w:w="1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4EDD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D6E3A"/>
                <w:sz w:val="19"/>
                <w:szCs w:val="19"/>
              </w:rPr>
              <w:t xml:space="preserve">GERING</w:t>
            </w:r>
          </w:p>
        </w:tc>
        <w:tc>
          <w:tcPr>
            <w:tcW w:type="dxa" w:w="8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–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B3A6B" w:sz="10" w:space="4"/>
        </w:pBdr>
        <w:spacing w:before="480" w:after="160"/>
      </w:pPr>
      <w:r>
        <w:rPr>
          <w:rFonts w:ascii="Arial" w:cs="Arial" w:eastAsia="Arial" w:hAnsi="Arial"/>
          <w:b/>
          <w:bCs/>
          <w:color w:val="1B3A6B"/>
          <w:sz w:val="32"/>
          <w:szCs w:val="32"/>
        </w:rPr>
        <w:t xml:space="preserve">7. Fazit und Handlungsempfehlungen</w:t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7.1 Zusammenfassende Gesamtbewertung</w:t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Die Website www.w-7.io zeigt eine grundsätzlich solide technische Basis: keine Tracking-Cookies vor Consent, klares Webflow-Processor-Verhältnis, AVV behauptet. Die Nicht-Konformität liegt nicht in der technischen Cookie-Praxis, sondern in zwei Dokumentations- und Transparenzdefiziten:</w:t>
      </w:r>
    </w:p>
    <w:p>
      <w:pPr>
        <w:spacing w:before="60" w:after="60"/>
      </w:pPr>
      <w: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Fehlende Benennung von CookieScript als tatsächlich genutztem CMP-Anbieter und Dritt-Host in der DSE trotz belegbarem Request und Consent-Cookie (Art. 13 Abs. 1 lit. e DSGVO, Art. 5 Abs. 1 lit. a DSGVO)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Opt-Out-Beschreibung in der DSE, die mit §25 Abs. 1 TDDDG und der Planet49-Rechtsprechung des EuGH nicht vereinbar ist – unabhängig davon, ob die technische Implementierung tatsächlich korrekt ist</w:t>
      </w:r>
    </w:p>
    <w:p>
      <w:pPr>
        <w:spacing w:before="60" w:after="60"/>
      </w:pPr>
      <w:r>
        <w:t xml:space="preserve"/>
      </w:r>
    </w:p>
    <w:p>
      <w:pPr>
        <w:spacing w:before="80" w:after="1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Flankierend bestehen mittlere Risiken bei technischen Schutzmaßnahmen (Referrer-Policy, CSP, SRI) und der Sub-Prozessoren-Transparenz, sowie Klärungsbedarf bei Google Maps / reCAPTCHA.</w:t>
      </w:r>
    </w:p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7.2 Priorisierte Handlungsempfehlungen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3000"/>
        <w:gridCol w:w="4638"/>
        <w:gridCol w:w="1600"/>
      </w:tblGrid>
      <w:tr>
        <w:trPr>
          <w:tblHeader/>
        </w:trP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Maßnahme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Umsetzungshinweis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B3A6B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Priorität</w:t>
            </w:r>
          </w:p>
        </w:tc>
      </w:tr>
      <w:t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1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CookieScript in Datenschutzerklärung konkret benennen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Dienst-Abschnitt ergänzen: CookieScript (cdn.cookie-script.com), Zweck (Consent-Management), Datenkategorien beim Script-Abruf (IP, User-Agent), Cookie CookieScriptConsent mit Zweck und Laufzeit (30 Tage). Rechtsgrundlage Art. 6 Abs. 1 lit. f. Art. 13 Abs. 1 lit. e DSGVO und Planet49-Anforderung damit erfüllt.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SOFORT</w:t>
            </w:r>
          </w:p>
        </w:tc>
      </w:tr>
      <w:t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2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Opt-Out-Formulierung in DSE auf Opt-in-Logik umstellen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§25 Abs. 1 TDDDG verlangt vorherige aktive Einwilligung. DSE-Text 'Widerspruch/Opt-Out durch Abwahl' ist zu ersetzen durch korrekte Beschreibung des tatsächlichen Consent-Modells. Falls CookieScript bereits Opt-in-Mechanismus implementiert: Text anpassen. Falls nicht: technische Umstellung des Banners.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ADBD8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SOFORT</w:t>
            </w:r>
          </w:p>
        </w:tc>
      </w:tr>
      <w:t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3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Referrer-Policy setzen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HTTP-Header ergänzen: Referrer-Policy: strict-origin-when-cross-origin (oder restriktiver). In Webflow: Settings → Custom Code (Head) → &lt;meta name='referrer' content='strict-origin-when-cross-origin'&gt; oder über Webflow-Hosting-Header-Konfiguration. Verhindert Übermittlung der Origin-URL bei Cross-Origin-Requests an CookieScript, Webflow CDN, CloudFront.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KURZFRISTIG</w:t>
            </w:r>
          </w:p>
        </w:tc>
      </w:tr>
      <w:t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4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CSP härten und SRI für CookieScript-Script ergänzen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Content Security Policy: default-src 'self', script-src auf bekannte Hosts beschränken, form-action, base-uri setzen. Subresource Integrity: &lt;script src='https://cdn.cookie-script.com/...' integrity='sha384-...' crossorigin='anonymous'&gt;. Reduziert Exfiltrationsrisiko bei kompromittiertem Dritt-Script (Art. 32 DSGVO).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KURZFRISTIG</w:t>
            </w:r>
          </w:p>
        </w:tc>
      </w:tr>
      <w:t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5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Webflow Sub-Prozessoren-Kette in DSE ausdifferenzieren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Ergänzung im Webflow-Abschnitt: Cloudflare Inc. (USA) und Amazon Web Services Inc. (USA) als Sub-Prozessoren von Webflow benennen. Transfermechanismus je Anbieter klarstellen (SCC oder DPF). Webflow Sub-Processor-Liste: webflow.com/legal/subprocessors. DPF-Zertifizierungsstatus: privacyshield.gov.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EF3CD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B7770D"/>
                <w:sz w:val="19"/>
                <w:szCs w:val="19"/>
              </w:rPr>
              <w:t xml:space="preserve">KURZFRISTIG</w:t>
            </w:r>
          </w:p>
        </w:tc>
      </w:tr>
      <w:t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6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Google Maps / reCAPTCHA: Einsatz klären und DSE bereinigen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Prüfung auf allen Unterseiten und Formularen: Werden Maps oder reCAPTCHA tatsächlich eingesetzt? (a) Nein → Abschnitte aus DSE entfernen (Art. 5 Abs. 1 lit. a: Richtigkeit). (b) Ja, auf Unterseiten → technisch an Einwilligung / Click-to-load koppeln, DSE-Beschreibung mit tatsächlicher Implementierung abgleichen.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2E6DA4"/>
                <w:sz w:val="19"/>
                <w:szCs w:val="19"/>
              </w:rPr>
              <w:t xml:space="preserve">MITTELFRISTIG</w:t>
            </w:r>
          </w:p>
        </w:tc>
      </w:tr>
      <w:t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7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Kontaktformular: Wording zur Rechtsgrundlage konsistenz prüfen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Kontaktseite enthält Formulierung 'stimme der Übermittlung meiner Daten zu'. Wenn Basis tatsächlich Art. 6 Abs. 1 lit. b ist (Vertragsanbahnung / Anfragenbearbeitung), besser: 'Ich habe die Datenschutzhinweise zur Kenntnis genommen'. Vermeidet Einwilligungskonstruktion mit Widerrufsfolgen, wo lit. b ausreicht.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2E6DA4"/>
                <w:sz w:val="19"/>
                <w:szCs w:val="19"/>
              </w:rPr>
              <w:t xml:space="preserve">MITTELFRISTIG</w:t>
            </w:r>
          </w:p>
        </w:tc>
      </w:tr>
      <w:tr>
        <w:tc>
          <w:tcPr>
            <w:tcW w:type="dxa" w:w="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8</w:t>
            </w:r>
          </w:p>
        </w:tc>
        <w:tc>
          <w:tcPr>
            <w:tcW w:type="dxa" w:w="3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TTDSG → TDDDG in gesamter DSE aktualisieren</w:t>
            </w:r>
          </w:p>
        </w:tc>
        <w:tc>
          <w:tcPr>
            <w:tcW w:type="dxa" w:w="4638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6F8FA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Alle Verweise auf '§25 TTDSG' durch '§25 TDDDG' ersetzen. Anlass nutzen, um DSE generell auf aktuellem Rechtsstand zu prüfen.</w:t>
            </w:r>
          </w:p>
        </w:tc>
        <w:tc>
          <w:tcPr>
            <w:tcW w:type="dxa" w:w="16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D8E8F4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2E6DA4"/>
                <w:sz w:val="19"/>
                <w:szCs w:val="19"/>
              </w:rPr>
              <w:t xml:space="preserve">MITTELFRISTIG</w:t>
            </w:r>
          </w:p>
        </w:tc>
      </w:tr>
    </w:tbl>
    <w:p>
      <w:pPr>
        <w:spacing w:before="60" w:after="60"/>
      </w:pPr>
      <w:r>
        <w:t xml:space="preserve"/>
      </w:r>
    </w:p>
    <w:p>
      <w:pPr>
        <w:pStyle w:val="Heading2"/>
        <w:spacing w:before="360" w:after="120"/>
      </w:pPr>
      <w:r>
        <w:rPr>
          <w:rFonts w:ascii="Arial" w:cs="Arial" w:eastAsia="Arial" w:hAnsi="Arial"/>
          <w:b/>
          <w:bCs/>
          <w:color w:val="2E6DA4"/>
          <w:sz w:val="26"/>
          <w:szCs w:val="26"/>
        </w:rPr>
        <w:t xml:space="preserve">7.3 Nächste Schritte (konkret)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DSE-Aktualisierung beauftragen: CookieScript-Abschnitt ergänzen (Priorität 1), Opt-Out-Formulierung korrigieren (Priorität 1)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CookieScript DPA / Rollenklärung: help.cookie-script.com prüfen, ob und unter welchen Bedingungen CookieScript Daten für eigene Zwecke verarbeitet; ggf. Art. 26 DSGVO-Arrangement prüfen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Webflow-Einstellungen: Referrer-Policy-Header aktivieren (Webflow Settings → Custom Code), CSP-Konfiguration prüfen, SRI für CookieScript-Script ergänzen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Unterseiten-Scan durchführen: Prüfen ob Google Maps / reCAPTCHA auf Unterseiten oder Kontaktformular geladen werden (Webbkoll oder Browser-DevTools)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DPF-Zertifizierungsstatus prüfen: privacyshield.gov/ps/active-participants für Webflow und ggf. CookieScript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Manueller Banner-Live-Test: Ablehnen-Button Gleichwertigkeit, Granularität, Widerruf-Zugänglichkeit prüfen</w:t>
      </w:r>
    </w:p>
    <w:p>
      <w:pPr>
        <w:spacing w:before="60" w:after="60"/>
      </w:pPr>
      <w: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6F8FA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color w:val="57606A"/>
                <w:sz w:val="21"/>
                <w:szCs w:val="21"/>
              </w:rPr>
              <w:t xml:space="preserve">Methodischer Hinweis: Dieses Gutachten basiert auf dem Webbkoll-Report vom 20.03.2026 (Erstaufruf Startseite, ohne Interaktion) und der Datenschutzerklärung von www.w-7.io. Aussagen zu nach-Klick-geladenen Diensten, anderen Unterseiten und zur visuellen Banner-Ausgestaltung erfordern ergänzende Prüfschritte und sind im Gutachten als nicht bestätigt markiert.</w:t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A1A1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80" w:after="160"/>
      <w:outlineLvl w:val="0"/>
    </w:pPr>
    <w:rPr>
      <w:rFonts w:ascii="Arial" w:cs="Arial" w:eastAsia="Arial" w:hAnsi="Arial"/>
      <w:b/>
      <w:bCs/>
      <w:color w:val="1B3A6B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360" w:after="120"/>
      <w:outlineLvl w:val="1"/>
    </w:pPr>
    <w:rPr>
      <w:rFonts w:ascii="Arial" w:cs="Arial" w:eastAsia="Arial" w:hAnsi="Arial"/>
      <w:b/>
      <w:bCs/>
      <w:color w:val="2E6DA4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40" w:after="80"/>
      <w:outlineLvl w:val="2"/>
    </w:pPr>
    <w:rPr>
      <w:rFonts w:ascii="Arial" w:cs="Arial" w:eastAsia="Arial" w:hAnsi="Arial"/>
      <w:b/>
      <w:bCs/>
      <w:color w:val="1A1A1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otnotes" Target="footnotes.xml"/><Relationship Id="rId7" Type="http://schemas.openxmlformats.org/officeDocument/2006/relationships/customXml" Target="../customXml/item1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DE7E0B0C354A4CBCB14107D0BC2E1E" ma:contentTypeVersion="16" ma:contentTypeDescription="Ein neues Dokument erstellen." ma:contentTypeScope="" ma:versionID="7a61768ead744f252e66d96331fb2071">
  <xsd:schema xmlns:xsd="http://www.w3.org/2001/XMLSchema" xmlns:xs="http://www.w3.org/2001/XMLSchema" xmlns:p="http://schemas.microsoft.com/office/2006/metadata/properties" xmlns:ns2="4955a58a-3510-4c6f-a437-d735966abfa8" xmlns:ns3="faf2d8c6-f94b-4212-aeff-c0a6d10373a0" targetNamespace="http://schemas.microsoft.com/office/2006/metadata/properties" ma:root="true" ma:fieldsID="9f6f7fc71011085600c0779e54f772d2" ns2:_="" ns3:_="">
    <xsd:import namespace="4955a58a-3510-4c6f-a437-d735966abfa8"/>
    <xsd:import namespace="faf2d8c6-f94b-4212-aeff-c0a6d10373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5a58a-3510-4c6f-a437-d735966abf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b65a3be-4060-4928-bfc9-ea1fe5952abb}" ma:internalName="TaxCatchAll" ma:showField="CatchAllData" ma:web="4955a58a-3510-4c6f-a437-d735966abf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2d8c6-f94b-4212-aeff-c0a6d10373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74035857-138f-4555-9f14-3581e7ad6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f2d8c6-f94b-4212-aeff-c0a6d10373a0">
      <Terms xmlns="http://schemas.microsoft.com/office/infopath/2007/PartnerControls"/>
    </lcf76f155ced4ddcb4097134ff3c332f>
    <TaxCatchAll xmlns="4955a58a-3510-4c6f-a437-d735966abfa8" xsi:nil="true"/>
  </documentManagement>
</p:properties>
</file>

<file path=customXml/itemProps1.xml><?xml version="1.0" encoding="utf-8"?>
<ds:datastoreItem xmlns:ds="http://schemas.openxmlformats.org/officeDocument/2006/customXml" ds:itemID="{397FDEB6-28C9-4A56-9653-B9A6A287D6BC}"/>
</file>

<file path=customXml/itemProps2.xml><?xml version="1.0" encoding="utf-8"?>
<ds:datastoreItem xmlns:ds="http://schemas.openxmlformats.org/officeDocument/2006/customXml" ds:itemID="{0C9D36CA-7205-4A0B-A9AA-B5D6D2F015D7}"/>
</file>

<file path=customXml/itemProps3.xml><?xml version="1.0" encoding="utf-8"?>
<ds:datastoreItem xmlns:ds="http://schemas.openxmlformats.org/officeDocument/2006/customXml" ds:itemID="{79165D42-ED29-4EBE-B257-850C2BF87530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2026-03-20T15:04:20Z</dcterms:created>
  <dcterms:modified xsi:type="dcterms:W3CDTF">2026-03-20T15:04:20Z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0x01010025DE7E0B0C354A4CBCB14107D0BC2E1E</vt:lpwstr>
  </property>
</Properties>
</file>